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2E" w:rsidRDefault="00AF3E2E" w:rsidP="00AF3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3E2E" w:rsidRDefault="00AF3E2E" w:rsidP="00AF3E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page" w:horzAnchor="margin" w:tblpY="118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954"/>
      </w:tblGrid>
      <w:tr w:rsidR="001C3675" w:rsidRPr="001C3675" w:rsidTr="001C3675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C3675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1C3675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675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1C3675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1C3675" w:rsidRPr="001C3675" w:rsidRDefault="001C3675" w:rsidP="001C3675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675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675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1C3675" w:rsidRPr="001C3675" w:rsidTr="001C3675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1C3675" w:rsidRPr="001C3675" w:rsidTr="001C3675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1C3675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1C3675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1C3675" w:rsidRPr="001C3675" w:rsidRDefault="001C3675" w:rsidP="001C36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1C3675" w:rsidRPr="001C3675" w:rsidTr="001C3675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3675" w:rsidRPr="001C3675" w:rsidRDefault="001C3675" w:rsidP="00A1405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1C367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№ </w:t>
            </w:r>
            <w:r w:rsidR="00A140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405F" w:rsidRPr="001C3675" w:rsidRDefault="00057103" w:rsidP="00A140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2020 елның </w:t>
            </w:r>
            <w:r w:rsidR="00A1405F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октябре</w:t>
            </w:r>
          </w:p>
        </w:tc>
      </w:tr>
    </w:tbl>
    <w:p w:rsidR="00A1405F" w:rsidRDefault="00A1405F" w:rsidP="0005710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3A" w:rsidRDefault="00057103" w:rsidP="0005710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571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Татарстан Республикасы Түбән Кама муниципаль районы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AC433A" w:rsidRDefault="00057103" w:rsidP="0005710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C433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«Майская Горка авыл җирлеге» муниципаль берәмлегенең Җирдән файдалану </w:t>
      </w:r>
    </w:p>
    <w:p w:rsidR="00057103" w:rsidRPr="00AC433A" w:rsidRDefault="00057103" w:rsidP="0005710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C433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һәм төзелеш кагыйдәләрен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яңа редакциядә</w:t>
      </w:r>
      <w:r w:rsidRPr="00AC433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раслау турында</w:t>
      </w:r>
    </w:p>
    <w:p w:rsidR="001C3675" w:rsidRPr="00AC433A" w:rsidRDefault="001C3675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1405F" w:rsidRPr="00AC433A" w:rsidRDefault="00A1405F" w:rsidP="001C36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1C3675" w:rsidRDefault="00057103" w:rsidP="00AC4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AC43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Россия Федерациясе Шәһәр төзелеше кодексының 30-32 статьялары, «Россия Федерациясендә җирле үзидарә оештыруның гомуми принциплары турында» 2003 елның 6 октябрендәге 131-ФЗ номерлы Федераль законның 14 статьясы, Татарстан Республикасы Түбән Кама муниципаль районы Уставы нигезендә, Майская Горка авыл җирлеге территориясен тотрыклы үстерүне, әйләнә-тирә мохитне саклау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ны</w:t>
      </w:r>
      <w:r w:rsidRPr="00AC43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, физик һәм юридик затларның, шул исәптән җир кишәрлекләре һәм капиталь төзелеш объектлары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хокук ияләренең </w:t>
      </w:r>
      <w:r w:rsidRPr="00AC43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хокукларын һәм законлы мәнфәгатьләрен тәэмин итү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, </w:t>
      </w:r>
      <w:r w:rsidRPr="00057103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инвестициялә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р җәлеп итү өчен шартлар тудыру  </w:t>
      </w:r>
      <w:r w:rsidRPr="00AC43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максатларында, Түбән</w:t>
      </w:r>
      <w:r w:rsidR="00343F8E" w:rsidRPr="00AC43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Кама муниципаль районы Советы</w:t>
      </w:r>
      <w:r w:rsidRPr="00AC433A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 </w:t>
      </w:r>
    </w:p>
    <w:p w:rsidR="00AC433A" w:rsidRPr="00057103" w:rsidRDefault="00AC433A" w:rsidP="00AC4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AF3E2E" w:rsidRPr="00343F8E" w:rsidRDefault="00057103" w:rsidP="00AC433A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  <w:r w:rsidRPr="00343F8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КАРАР БИРӘ</w:t>
      </w:r>
      <w:r w:rsidR="00AF3E2E" w:rsidRPr="00343F8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:</w:t>
      </w:r>
    </w:p>
    <w:p w:rsidR="001C3675" w:rsidRPr="00343F8E" w:rsidRDefault="001C3675" w:rsidP="00AC433A">
      <w:pPr>
        <w:shd w:val="clear" w:color="auto" w:fill="FFFFFF"/>
        <w:spacing w:after="0" w:line="240" w:lineRule="auto"/>
        <w:ind w:left="7" w:right="14" w:firstLine="547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1C3675" w:rsidRPr="00C259A1" w:rsidRDefault="00343F8E" w:rsidP="00AC433A">
      <w:p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C259A1">
        <w:rPr>
          <w:rFonts w:ascii="Times New Roman" w:hAnsi="Times New Roman" w:cs="Times New Roman"/>
          <w:sz w:val="28"/>
          <w:szCs w:val="28"/>
          <w:lang w:val="tt-RU"/>
        </w:rPr>
        <w:t>1. «</w:t>
      </w:r>
      <w:r w:rsidRPr="00C259A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Майская Горка авыл җирлеге» муниципаль берәмлегенең Җирдән файдалану һәм төзелеш кагыйдәләрен яңа редакциядә расларга (кушымта).</w:t>
      </w:r>
    </w:p>
    <w:p w:rsidR="001C3675" w:rsidRPr="00343F8E" w:rsidRDefault="00343F8E" w:rsidP="00AC433A">
      <w:p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C259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 Әлеге карарны массакүләм мәгълүмат чараларының матбугат басмасында һәм Түбән Кама</w:t>
      </w:r>
      <w:r w:rsidRPr="00343F8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муниципаль районы һәм Майская Горка авыл җирлеге рәсми сайтларында бастырып чыгарырга.</w:t>
      </w:r>
    </w:p>
    <w:p w:rsidR="001C3675" w:rsidRPr="00343F8E" w:rsidRDefault="00343F8E" w:rsidP="00AC433A">
      <w:p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 w:rsidRPr="00343F8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3.</w:t>
      </w:r>
      <w:r>
        <w:rPr>
          <w:lang w:val="tt-RU"/>
        </w:rPr>
        <w:t xml:space="preserve"> </w:t>
      </w:r>
      <w:r w:rsidRPr="00343F8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«Майская Горка авыл җирлеге» муниципаль берәмлегенең Җирдән файдалану һәм төзелеш кагыйдәләрен Россия Федерациясе территориаль планлаштыру Федераль дәүләт мәгълүмат системасына (РФ ТП ФДМС) урнаштырырга. </w:t>
      </w:r>
    </w:p>
    <w:p w:rsidR="00AF3E2E" w:rsidRPr="00343F8E" w:rsidRDefault="00343F8E" w:rsidP="00AC433A">
      <w:pPr>
        <w:tabs>
          <w:tab w:val="left" w:pos="1134"/>
        </w:tabs>
        <w:autoSpaceDE w:val="0"/>
        <w:autoSpaceDN w:val="0"/>
        <w:adjustRightInd w:val="0"/>
        <w:spacing w:before="5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 xml:space="preserve">4. </w:t>
      </w:r>
      <w:r w:rsidRPr="00343F8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  <w:t>Әлеге карарның үтәлешен контрольдә тотуны төзелеш, җир төзелеше, торак-коммуналь хуҗалык һәм транспорт буенча даими комиссиягә йөкләнә.</w:t>
      </w:r>
    </w:p>
    <w:p w:rsidR="00AF3E2E" w:rsidRPr="00343F8E" w:rsidRDefault="00AF3E2E" w:rsidP="00AF3E2E">
      <w:pPr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tt-RU" w:eastAsia="ru-RU"/>
        </w:rPr>
      </w:pPr>
    </w:p>
    <w:p w:rsidR="00AF3E2E" w:rsidRDefault="00AF3E2E" w:rsidP="00AF3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AC433A" w:rsidRPr="00343F8E" w:rsidRDefault="00AC433A" w:rsidP="00AF3E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bookmarkStart w:id="0" w:name="_GoBack"/>
      <w:bookmarkEnd w:id="0"/>
    </w:p>
    <w:p w:rsidR="001C3675" w:rsidRPr="001C3675" w:rsidRDefault="00343F8E" w:rsidP="001C3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Түбән Кама муниципаль</w:t>
      </w:r>
      <w:r w:rsidR="001C3675" w:rsidRPr="001C3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675" w:rsidRPr="001C3675" w:rsidRDefault="00343F8E" w:rsidP="001C36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районы</w:t>
      </w:r>
      <w:r w:rsidR="001C3675" w:rsidRPr="001C36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1C3675" w:rsidRPr="001C36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C259A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C3675" w:rsidRPr="001C3675">
        <w:rPr>
          <w:rFonts w:ascii="Times New Roman" w:hAnsi="Times New Roman" w:cs="Times New Roman"/>
          <w:sz w:val="28"/>
          <w:szCs w:val="28"/>
        </w:rPr>
        <w:t xml:space="preserve">   А.Р.Метшин</w:t>
      </w:r>
    </w:p>
    <w:p w:rsidR="001C3675" w:rsidRDefault="001C3675" w:rsidP="001C3675">
      <w:pPr>
        <w:tabs>
          <w:tab w:val="left" w:pos="3119"/>
          <w:tab w:val="left" w:pos="963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3675" w:rsidSect="001C3675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44E"/>
    <w:multiLevelType w:val="multilevel"/>
    <w:tmpl w:val="E51291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32B74B61"/>
    <w:multiLevelType w:val="hybridMultilevel"/>
    <w:tmpl w:val="F128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5A95EA5"/>
    <w:multiLevelType w:val="hybridMultilevel"/>
    <w:tmpl w:val="4A18F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A5E33"/>
    <w:multiLevelType w:val="hybridMultilevel"/>
    <w:tmpl w:val="55006600"/>
    <w:lvl w:ilvl="0" w:tplc="321A7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57103"/>
    <w:rsid w:val="000975EE"/>
    <w:rsid w:val="000A391E"/>
    <w:rsid w:val="000C4A9A"/>
    <w:rsid w:val="000E4422"/>
    <w:rsid w:val="000F3516"/>
    <w:rsid w:val="001111D5"/>
    <w:rsid w:val="001112E6"/>
    <w:rsid w:val="00125AB2"/>
    <w:rsid w:val="00136497"/>
    <w:rsid w:val="00180E11"/>
    <w:rsid w:val="001C3675"/>
    <w:rsid w:val="001C5CA4"/>
    <w:rsid w:val="001C67CF"/>
    <w:rsid w:val="001E75C9"/>
    <w:rsid w:val="001F1A16"/>
    <w:rsid w:val="00223CBA"/>
    <w:rsid w:val="00231BA2"/>
    <w:rsid w:val="00237AA5"/>
    <w:rsid w:val="002458AC"/>
    <w:rsid w:val="00266466"/>
    <w:rsid w:val="002A5B18"/>
    <w:rsid w:val="002B08F5"/>
    <w:rsid w:val="002C4D5C"/>
    <w:rsid w:val="002F0207"/>
    <w:rsid w:val="0030339D"/>
    <w:rsid w:val="00306343"/>
    <w:rsid w:val="00316977"/>
    <w:rsid w:val="0033412B"/>
    <w:rsid w:val="003412FF"/>
    <w:rsid w:val="003417A4"/>
    <w:rsid w:val="00343F8E"/>
    <w:rsid w:val="00385D33"/>
    <w:rsid w:val="003A4162"/>
    <w:rsid w:val="003A7E36"/>
    <w:rsid w:val="003B273E"/>
    <w:rsid w:val="003C266B"/>
    <w:rsid w:val="003C3D76"/>
    <w:rsid w:val="003E604B"/>
    <w:rsid w:val="003F1D1E"/>
    <w:rsid w:val="00403FC1"/>
    <w:rsid w:val="00433CA2"/>
    <w:rsid w:val="00434CA1"/>
    <w:rsid w:val="00445A24"/>
    <w:rsid w:val="0047754B"/>
    <w:rsid w:val="00483D55"/>
    <w:rsid w:val="0049204D"/>
    <w:rsid w:val="004B43E0"/>
    <w:rsid w:val="004B4BE7"/>
    <w:rsid w:val="004D5640"/>
    <w:rsid w:val="005156A4"/>
    <w:rsid w:val="00516F25"/>
    <w:rsid w:val="005212B7"/>
    <w:rsid w:val="00560E61"/>
    <w:rsid w:val="005D7F0B"/>
    <w:rsid w:val="005E138C"/>
    <w:rsid w:val="00626541"/>
    <w:rsid w:val="00627BCC"/>
    <w:rsid w:val="00633E97"/>
    <w:rsid w:val="006439C9"/>
    <w:rsid w:val="00652BB2"/>
    <w:rsid w:val="00657C1A"/>
    <w:rsid w:val="006710F4"/>
    <w:rsid w:val="006975FA"/>
    <w:rsid w:val="007460DB"/>
    <w:rsid w:val="00760BF2"/>
    <w:rsid w:val="0076455C"/>
    <w:rsid w:val="007821A0"/>
    <w:rsid w:val="007B0C43"/>
    <w:rsid w:val="007C46E7"/>
    <w:rsid w:val="007C5973"/>
    <w:rsid w:val="0080644C"/>
    <w:rsid w:val="00834AEC"/>
    <w:rsid w:val="008473C6"/>
    <w:rsid w:val="00853491"/>
    <w:rsid w:val="00853B13"/>
    <w:rsid w:val="00863A3D"/>
    <w:rsid w:val="008904E1"/>
    <w:rsid w:val="00895FD0"/>
    <w:rsid w:val="008976E6"/>
    <w:rsid w:val="008C4B2C"/>
    <w:rsid w:val="008D25BC"/>
    <w:rsid w:val="009117E3"/>
    <w:rsid w:val="00912B1A"/>
    <w:rsid w:val="009140FA"/>
    <w:rsid w:val="00923C62"/>
    <w:rsid w:val="00932AC2"/>
    <w:rsid w:val="009405C0"/>
    <w:rsid w:val="00943F63"/>
    <w:rsid w:val="00946401"/>
    <w:rsid w:val="00975C24"/>
    <w:rsid w:val="0098233D"/>
    <w:rsid w:val="0098536A"/>
    <w:rsid w:val="009A39D5"/>
    <w:rsid w:val="009D1A58"/>
    <w:rsid w:val="00A073B0"/>
    <w:rsid w:val="00A1405F"/>
    <w:rsid w:val="00A151FE"/>
    <w:rsid w:val="00A16003"/>
    <w:rsid w:val="00A22461"/>
    <w:rsid w:val="00A42547"/>
    <w:rsid w:val="00A5216E"/>
    <w:rsid w:val="00A6194A"/>
    <w:rsid w:val="00A762B5"/>
    <w:rsid w:val="00A86821"/>
    <w:rsid w:val="00AA010D"/>
    <w:rsid w:val="00AA3389"/>
    <w:rsid w:val="00AC24A8"/>
    <w:rsid w:val="00AC433A"/>
    <w:rsid w:val="00AF35DE"/>
    <w:rsid w:val="00AF3E2E"/>
    <w:rsid w:val="00B2053E"/>
    <w:rsid w:val="00B27247"/>
    <w:rsid w:val="00B3202F"/>
    <w:rsid w:val="00B37745"/>
    <w:rsid w:val="00B37E9E"/>
    <w:rsid w:val="00B56FA3"/>
    <w:rsid w:val="00BA2E52"/>
    <w:rsid w:val="00BB3ABF"/>
    <w:rsid w:val="00BC0C06"/>
    <w:rsid w:val="00BC28C3"/>
    <w:rsid w:val="00BF3D38"/>
    <w:rsid w:val="00BF40BB"/>
    <w:rsid w:val="00BF725C"/>
    <w:rsid w:val="00C259A1"/>
    <w:rsid w:val="00C4138B"/>
    <w:rsid w:val="00C41E8A"/>
    <w:rsid w:val="00C8760E"/>
    <w:rsid w:val="00C95697"/>
    <w:rsid w:val="00CB2FFE"/>
    <w:rsid w:val="00CC3145"/>
    <w:rsid w:val="00CC7849"/>
    <w:rsid w:val="00D03453"/>
    <w:rsid w:val="00D12200"/>
    <w:rsid w:val="00D34F8D"/>
    <w:rsid w:val="00D56C0D"/>
    <w:rsid w:val="00D617E2"/>
    <w:rsid w:val="00D705B4"/>
    <w:rsid w:val="00D74872"/>
    <w:rsid w:val="00D823D2"/>
    <w:rsid w:val="00D84AB6"/>
    <w:rsid w:val="00D857C6"/>
    <w:rsid w:val="00DB5E86"/>
    <w:rsid w:val="00DE21F3"/>
    <w:rsid w:val="00DF140D"/>
    <w:rsid w:val="00DF5F07"/>
    <w:rsid w:val="00E22670"/>
    <w:rsid w:val="00E62E33"/>
    <w:rsid w:val="00EC4FC2"/>
    <w:rsid w:val="00EE2C80"/>
    <w:rsid w:val="00F26E2C"/>
    <w:rsid w:val="00F475B2"/>
    <w:rsid w:val="00F6503A"/>
    <w:rsid w:val="00F94E8B"/>
    <w:rsid w:val="00FB17F2"/>
    <w:rsid w:val="00FD2A9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FDE1DF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23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8</cp:revision>
  <cp:lastPrinted>2020-10-16T04:34:00Z</cp:lastPrinted>
  <dcterms:created xsi:type="dcterms:W3CDTF">2020-10-07T06:05:00Z</dcterms:created>
  <dcterms:modified xsi:type="dcterms:W3CDTF">2020-10-20T11:15:00Z</dcterms:modified>
</cp:coreProperties>
</file>